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438" w:rsidRDefault="0030040F"/>
    <w:p w:rsidR="005435EA" w:rsidRPr="005435EA" w:rsidRDefault="005435EA" w:rsidP="005435EA">
      <w:pPr>
        <w:rPr>
          <w:lang w:val="fr-FR"/>
        </w:rPr>
      </w:pPr>
      <w:r w:rsidRPr="005435EA">
        <w:rPr>
          <w:lang w:val="fr-FR"/>
        </w:rPr>
        <w:t>Les substrats et la zéolite</w:t>
      </w:r>
    </w:p>
    <w:p w:rsidR="005435EA" w:rsidRPr="005435EA" w:rsidRDefault="005435EA" w:rsidP="005435EA">
      <w:pPr>
        <w:rPr>
          <w:lang w:val="fr-FR"/>
        </w:rPr>
      </w:pPr>
    </w:p>
    <w:p w:rsidR="005435EA" w:rsidRPr="005435EA" w:rsidRDefault="005435EA" w:rsidP="005435EA">
      <w:pPr>
        <w:rPr>
          <w:lang w:val="fr-FR"/>
        </w:rPr>
      </w:pPr>
      <w:r w:rsidRPr="005435EA">
        <w:rPr>
          <w:lang w:val="fr-FR"/>
        </w:rPr>
        <w:t xml:space="preserve">Une zéolithe, ou zéolite, est un cristal formé d'un squelette microporeux d'aluminosilicate, dont les espaces vides connexes sont initialement occupés par des </w:t>
      </w:r>
      <w:proofErr w:type="spellStart"/>
      <w:r w:rsidRPr="005435EA">
        <w:rPr>
          <w:lang w:val="fr-FR"/>
        </w:rPr>
        <w:t>cations</w:t>
      </w:r>
      <w:proofErr w:type="spellEnd"/>
      <w:r w:rsidRPr="005435EA">
        <w:rPr>
          <w:lang w:val="fr-FR"/>
        </w:rPr>
        <w:t xml:space="preserve"> et des molécules d'eau.</w:t>
      </w:r>
    </w:p>
    <w:p w:rsidR="005435EA" w:rsidRPr="0030040F" w:rsidRDefault="005435EA" w:rsidP="005435EA">
      <w:pPr>
        <w:rPr>
          <w:b/>
          <w:lang w:val="fr-FR"/>
        </w:rPr>
      </w:pPr>
    </w:p>
    <w:p w:rsidR="005435EA" w:rsidRPr="0030040F" w:rsidRDefault="005435EA" w:rsidP="005435EA">
      <w:pPr>
        <w:rPr>
          <w:b/>
          <w:bCs/>
          <w:lang w:val="fr-FR"/>
        </w:rPr>
      </w:pPr>
      <w:r w:rsidRPr="0030040F">
        <w:rPr>
          <w:b/>
          <w:bCs/>
          <w:lang w:val="fr-FR"/>
        </w:rPr>
        <w:t>Propriétés </w:t>
      </w:r>
      <w:r w:rsidR="00F749BF" w:rsidRPr="0030040F">
        <w:rPr>
          <w:b/>
          <w:lang w:val="fr-FR"/>
        </w:rPr>
        <w:t xml:space="preserve">pour le </w:t>
      </w:r>
      <w:proofErr w:type="spellStart"/>
      <w:r w:rsidR="00F749BF" w:rsidRPr="0030040F">
        <w:rPr>
          <w:b/>
          <w:lang w:val="fr-FR"/>
        </w:rPr>
        <w:t>bonsai</w:t>
      </w:r>
      <w:proofErr w:type="spellEnd"/>
      <w:r w:rsidR="0030040F" w:rsidRPr="0030040F">
        <w:rPr>
          <w:b/>
          <w:lang w:val="fr-FR"/>
        </w:rPr>
        <w:t> :</w:t>
      </w:r>
    </w:p>
    <w:p w:rsidR="005435EA" w:rsidRPr="005435EA" w:rsidRDefault="005435EA" w:rsidP="005435EA">
      <w:pPr>
        <w:rPr>
          <w:lang w:val="fr-FR"/>
        </w:rPr>
      </w:pPr>
      <w:r w:rsidRPr="005435EA">
        <w:rPr>
          <w:lang w:val="fr-FR"/>
        </w:rPr>
        <w:br/>
      </w:r>
      <w:r w:rsidRPr="005435EA">
        <w:rPr>
          <w:lang w:val="fr-FR"/>
        </w:rPr>
        <w:tab/>
        <w:t>Une grande capacité d'adsorption</w:t>
      </w:r>
    </w:p>
    <w:p w:rsidR="005435EA" w:rsidRPr="005435EA" w:rsidRDefault="005435EA" w:rsidP="005435EA">
      <w:pPr>
        <w:rPr>
          <w:lang w:val="fr-FR"/>
        </w:rPr>
      </w:pPr>
      <w:r w:rsidRPr="005435EA">
        <w:rPr>
          <w:lang w:val="fr-FR"/>
        </w:rPr>
        <w:t xml:space="preserve"> ( En chimie, l'adsorption est un phénomène de surface par lequel des atomes, des cations ou des molécules (adsorbas) se fixent sur une surface solide (adsorbant) depuis une phase gazeuse, liquide ou une solution solide. )</w:t>
      </w:r>
    </w:p>
    <w:p w:rsidR="005435EA" w:rsidRDefault="005435EA" w:rsidP="005435EA">
      <w:pPr>
        <w:rPr>
          <w:lang w:val="fr-FR"/>
        </w:rPr>
      </w:pPr>
      <w:r w:rsidRPr="005435EA">
        <w:rPr>
          <w:lang w:val="fr-FR"/>
        </w:rPr>
        <w:br/>
      </w:r>
      <w:r w:rsidRPr="005435EA">
        <w:rPr>
          <w:lang w:val="fr-FR"/>
        </w:rPr>
        <w:tab/>
        <w:t xml:space="preserve">Une C.E.C. (Capacité d'Échange </w:t>
      </w:r>
      <w:proofErr w:type="gramStart"/>
      <w:r w:rsidRPr="005435EA">
        <w:rPr>
          <w:lang w:val="fr-FR"/>
        </w:rPr>
        <w:t>Cationique )</w:t>
      </w:r>
      <w:proofErr w:type="gramEnd"/>
      <w:r w:rsidRPr="005435EA">
        <w:rPr>
          <w:lang w:val="fr-FR"/>
        </w:rPr>
        <w:t xml:space="preserve"> exceptionnelle</w:t>
      </w:r>
      <w:r w:rsidRPr="005435EA">
        <w:rPr>
          <w:lang w:val="fr-FR"/>
        </w:rPr>
        <w:br/>
      </w:r>
      <w:r w:rsidRPr="005435EA">
        <w:rPr>
          <w:lang w:val="fr-FR"/>
        </w:rPr>
        <w:br/>
        <w:t xml:space="preserve">La zéolithe a tendance à échanger ses cations pour ceux du milieu avec une affinité plus ou moins grande. Dans le cas des zéolithes naturelles la C.E.C. est tout à fait exceptionnelle puisqu'elle varie de 120 à 250 </w:t>
      </w:r>
      <w:proofErr w:type="spellStart"/>
      <w:r w:rsidRPr="005435EA">
        <w:rPr>
          <w:lang w:val="fr-FR"/>
        </w:rPr>
        <w:t>meq</w:t>
      </w:r>
      <w:proofErr w:type="spellEnd"/>
      <w:r w:rsidRPr="005435EA">
        <w:rPr>
          <w:lang w:val="fr-FR"/>
        </w:rPr>
        <w:t>/100 g selon l’espèce.</w:t>
      </w:r>
    </w:p>
    <w:p w:rsidR="00F749BF" w:rsidRPr="00F749BF" w:rsidRDefault="00F749BF" w:rsidP="005435EA">
      <w:pPr>
        <w:rPr>
          <w:color w:val="0070C0"/>
          <w:lang w:val="fr-FR"/>
        </w:rPr>
      </w:pPr>
      <w:r>
        <w:rPr>
          <w:color w:val="0070C0"/>
          <w:lang w:val="fr-FR"/>
        </w:rPr>
        <w:t>Je placerais la stabilité ici</w:t>
      </w:r>
      <w:bookmarkStart w:id="0" w:name="_GoBack"/>
      <w:bookmarkEnd w:id="0"/>
    </w:p>
    <w:p w:rsidR="00B56DB0" w:rsidRDefault="005435EA" w:rsidP="00B56DB0">
      <w:pPr>
        <w:rPr>
          <w:color w:val="0070C0"/>
          <w:lang w:val="fr-FR"/>
        </w:rPr>
      </w:pPr>
      <w:r w:rsidRPr="005435EA">
        <w:rPr>
          <w:lang w:val="fr-FR"/>
        </w:rPr>
        <w:br/>
      </w:r>
      <w:r w:rsidRPr="005435EA">
        <w:rPr>
          <w:b/>
          <w:lang w:val="fr-FR"/>
        </w:rPr>
        <w:t>ZÉOLITHES ET CULTURES VÉGÉTALES</w:t>
      </w:r>
      <w:r w:rsidR="00B56DB0" w:rsidRPr="00B56DB0">
        <w:rPr>
          <w:color w:val="0070C0"/>
          <w:lang w:val="fr-FR"/>
        </w:rPr>
        <w:t xml:space="preserve"> </w:t>
      </w:r>
    </w:p>
    <w:p w:rsidR="005435EA" w:rsidRPr="00B56DB0" w:rsidRDefault="00B56DB0" w:rsidP="005435EA">
      <w:pPr>
        <w:rPr>
          <w:color w:val="0070C0"/>
          <w:lang w:val="fr-FR"/>
        </w:rPr>
      </w:pPr>
      <w:r>
        <w:rPr>
          <w:color w:val="0070C0"/>
          <w:lang w:val="fr-FR"/>
        </w:rPr>
        <w:t>C’est plutôt plaidoyer pour la zéolite</w:t>
      </w:r>
      <w:r w:rsidR="005435EA" w:rsidRPr="005435EA">
        <w:rPr>
          <w:lang w:val="fr-FR"/>
        </w:rPr>
        <w:br/>
        <w:t>Le principe de l'action d'un apport en zéolithe réside dans une augmentation significative de la C.E.C. : avec un amendement zéolitique de 10%, il est possible de multiplier par 10 la C.E.C. d'un support sableux</w:t>
      </w:r>
      <w:r>
        <w:rPr>
          <w:lang w:val="fr-FR"/>
        </w:rPr>
        <w:t xml:space="preserve"> </w:t>
      </w:r>
      <w:r>
        <w:rPr>
          <w:color w:val="0070C0"/>
          <w:lang w:val="fr-FR"/>
        </w:rPr>
        <w:t xml:space="preserve">(pourtant 10*zéro </w:t>
      </w:r>
      <w:proofErr w:type="spellStart"/>
      <w:r>
        <w:rPr>
          <w:color w:val="0070C0"/>
          <w:lang w:val="fr-FR"/>
        </w:rPr>
        <w:t>deCEC</w:t>
      </w:r>
      <w:proofErr w:type="spellEnd"/>
      <w:r>
        <w:rPr>
          <w:color w:val="0070C0"/>
          <w:lang w:val="fr-FR"/>
        </w:rPr>
        <w:t xml:space="preserve">  ferait toujours zéro)</w:t>
      </w:r>
      <w:r w:rsidR="005435EA" w:rsidRPr="005435EA">
        <w:rPr>
          <w:lang w:val="fr-FR"/>
        </w:rPr>
        <w:t xml:space="preserve">. Grâce à leur propriété hydrophile, les zéolithes peuvent adsorber l'eau jusqu'à 30% de leur poids total et sans aucune variation de volume. </w:t>
      </w:r>
      <w:r w:rsidR="005435EA" w:rsidRPr="005435EA">
        <w:rPr>
          <w:lang w:val="fr-FR"/>
        </w:rPr>
        <w:br/>
      </w:r>
      <w:r w:rsidR="005435EA" w:rsidRPr="005435EA">
        <w:rPr>
          <w:lang w:val="fr-FR"/>
        </w:rPr>
        <w:br/>
        <w:t>Les zéolithes ne captent pas l'eau de façon irréversible, elles se comportent comme</w:t>
      </w:r>
      <w:r w:rsidR="005435EA" w:rsidRPr="005435EA">
        <w:rPr>
          <w:lang w:val="fr-FR"/>
        </w:rPr>
        <w:br/>
        <w:t>une réserve au voisinage des racines. Celles-ci peuvent capter l'eau en fonction de</w:t>
      </w:r>
      <w:r w:rsidR="005435EA" w:rsidRPr="005435EA">
        <w:rPr>
          <w:lang w:val="fr-FR"/>
        </w:rPr>
        <w:br/>
        <w:t>leur besoin. Les zéolithes permettent ainsi de réduire les besoins d'arrosage jusqu'à</w:t>
      </w:r>
      <w:r w:rsidR="005435EA" w:rsidRPr="005435EA">
        <w:rPr>
          <w:lang w:val="fr-FR"/>
        </w:rPr>
        <w:br/>
        <w:t>35 %.</w:t>
      </w:r>
      <w:r w:rsidR="005435EA" w:rsidRPr="005435EA">
        <w:rPr>
          <w:lang w:val="fr-FR"/>
        </w:rPr>
        <w:br/>
      </w:r>
      <w:r w:rsidR="005435EA" w:rsidRPr="005435EA">
        <w:rPr>
          <w:lang w:val="fr-FR"/>
        </w:rPr>
        <w:br/>
        <w:t>Une zéolithe se comporte comme une "Zone de Stockage" qui retient l'azote et les</w:t>
      </w:r>
      <w:r w:rsidR="005435EA" w:rsidRPr="005435EA">
        <w:rPr>
          <w:lang w:val="fr-FR"/>
        </w:rPr>
        <w:br/>
        <w:t>éléments minéraux nutritifs au voisinage des racines et les relâche lentement en</w:t>
      </w:r>
      <w:r w:rsidR="005435EA" w:rsidRPr="005435EA">
        <w:rPr>
          <w:lang w:val="fr-FR"/>
        </w:rPr>
        <w:br/>
        <w:t>fonction des besoins de la plante. Cela se traduit par une croissance harmonieuse</w:t>
      </w:r>
      <w:r w:rsidR="005435EA" w:rsidRPr="005435EA">
        <w:rPr>
          <w:lang w:val="fr-FR"/>
        </w:rPr>
        <w:br/>
        <w:t>mais rapide du végétal.</w:t>
      </w:r>
      <w:r w:rsidR="005435EA" w:rsidRPr="005435EA">
        <w:rPr>
          <w:lang w:val="fr-FR"/>
        </w:rPr>
        <w:br/>
      </w:r>
      <w:r w:rsidR="005435EA" w:rsidRPr="005435EA">
        <w:rPr>
          <w:lang w:val="fr-FR"/>
        </w:rPr>
        <w:br/>
      </w:r>
      <w:r>
        <w:rPr>
          <w:color w:val="0070C0"/>
          <w:lang w:val="fr-FR"/>
        </w:rPr>
        <w:t>Beaucoup d’autres matériaux pouvant être employés comme substrat remplissent +/- les mêmes fonctions</w:t>
      </w:r>
    </w:p>
    <w:p w:rsidR="005435EA" w:rsidRPr="005435EA" w:rsidRDefault="005435EA" w:rsidP="005435EA">
      <w:pPr>
        <w:rPr>
          <w:lang w:val="fr-FR"/>
        </w:rPr>
      </w:pPr>
      <w:r w:rsidRPr="005435EA">
        <w:rPr>
          <w:lang w:val="fr-FR"/>
        </w:rPr>
        <w:br/>
      </w:r>
      <w:r w:rsidRPr="005435EA">
        <w:rPr>
          <w:b/>
          <w:lang w:val="fr-FR"/>
        </w:rPr>
        <w:t>STABILITÉ</w:t>
      </w:r>
      <w:r w:rsidRPr="005435EA">
        <w:rPr>
          <w:lang w:val="fr-FR"/>
        </w:rPr>
        <w:br/>
      </w:r>
      <w:r w:rsidRPr="005435EA">
        <w:rPr>
          <w:lang w:val="fr-FR"/>
        </w:rPr>
        <w:lastRenderedPageBreak/>
        <w:t xml:space="preserve">La stabilité est un facteur décisif lorsque l’on décide d’utiliser de </w:t>
      </w:r>
      <w:r w:rsidRPr="00B56DB0">
        <w:rPr>
          <w:highlight w:val="yellow"/>
          <w:lang w:val="fr-FR"/>
        </w:rPr>
        <w:t>tels matériaux</w:t>
      </w:r>
      <w:r w:rsidRPr="005435EA">
        <w:rPr>
          <w:lang w:val="fr-FR"/>
        </w:rPr>
        <w:t xml:space="preserve"> dans la culture de bonsaï. Elle doit se manifester à plusieurs niveaux :</w:t>
      </w:r>
      <w:r w:rsidRPr="005435EA">
        <w:rPr>
          <w:lang w:val="fr-FR"/>
        </w:rPr>
        <w:br/>
        <w:t>- La résistance mécanique : la roche doit pouvoir garder une granulométrie stable</w:t>
      </w:r>
      <w:r w:rsidRPr="005435EA">
        <w:rPr>
          <w:lang w:val="fr-FR"/>
        </w:rPr>
        <w:br/>
        <w:t>dans le temps sans s'éroder du fait des frottements entre les grains ou lors des</w:t>
      </w:r>
      <w:r w:rsidRPr="005435EA">
        <w:rPr>
          <w:lang w:val="fr-FR"/>
        </w:rPr>
        <w:br/>
        <w:t>manipulations (rempotage).</w:t>
      </w:r>
      <w:r w:rsidRPr="005435EA">
        <w:rPr>
          <w:lang w:val="fr-FR"/>
        </w:rPr>
        <w:br/>
        <w:t>- La résistance thermique : les brutales variations de température, le gel ou la</w:t>
      </w:r>
      <w:r w:rsidRPr="005435EA">
        <w:rPr>
          <w:lang w:val="fr-FR"/>
        </w:rPr>
        <w:br/>
        <w:t>sécheresse ne doivent pas provoquer l'érosion de la roche.</w:t>
      </w:r>
      <w:r w:rsidRPr="005435EA">
        <w:rPr>
          <w:lang w:val="fr-FR"/>
        </w:rPr>
        <w:br/>
        <w:t xml:space="preserve">- La capacité d'échange cationique : elle </w:t>
      </w:r>
      <w:r w:rsidRPr="00F749BF">
        <w:rPr>
          <w:highlight w:val="yellow"/>
          <w:lang w:val="fr-FR"/>
        </w:rPr>
        <w:t>doit garder</w:t>
      </w:r>
      <w:r w:rsidRPr="005435EA">
        <w:rPr>
          <w:lang w:val="fr-FR"/>
        </w:rPr>
        <w:t xml:space="preserve"> une certaine constance au cours</w:t>
      </w:r>
      <w:r w:rsidRPr="005435EA">
        <w:rPr>
          <w:lang w:val="fr-FR"/>
        </w:rPr>
        <w:br/>
        <w:t>du temps afin de limiter les apports trop fréquents</w:t>
      </w:r>
      <w:r w:rsidR="00F749BF">
        <w:rPr>
          <w:lang w:val="fr-FR"/>
        </w:rPr>
        <w:t xml:space="preserve"> </w:t>
      </w:r>
      <w:r w:rsidR="00F749BF">
        <w:rPr>
          <w:color w:val="0070C0"/>
          <w:lang w:val="fr-FR"/>
        </w:rPr>
        <w:t>Il suffit d’adapter ses apports !</w:t>
      </w:r>
      <w:r w:rsidRPr="005435EA">
        <w:rPr>
          <w:lang w:val="fr-FR"/>
        </w:rPr>
        <w:br/>
      </w:r>
      <w:r w:rsidRPr="005435EA">
        <w:rPr>
          <w:lang w:val="fr-FR"/>
        </w:rPr>
        <w:br/>
      </w:r>
      <w:r w:rsidRPr="005435EA">
        <w:rPr>
          <w:lang w:val="fr-FR"/>
        </w:rPr>
        <w:br/>
      </w:r>
      <w:r w:rsidRPr="005435EA">
        <w:rPr>
          <w:lang w:val="fr-FR"/>
        </w:rPr>
        <w:br/>
      </w:r>
    </w:p>
    <w:tbl>
      <w:tblPr>
        <w:tblW w:w="9638" w:type="dxa"/>
        <w:tblLayout w:type="fixed"/>
        <w:tblCellMar>
          <w:left w:w="10" w:type="dxa"/>
          <w:right w:w="10" w:type="dxa"/>
        </w:tblCellMar>
        <w:tblLook w:val="0000" w:firstRow="0" w:lastRow="0" w:firstColumn="0" w:lastColumn="0" w:noHBand="0" w:noVBand="0"/>
      </w:tblPr>
      <w:tblGrid>
        <w:gridCol w:w="1927"/>
        <w:gridCol w:w="1927"/>
        <w:gridCol w:w="1928"/>
        <w:gridCol w:w="1928"/>
        <w:gridCol w:w="1928"/>
      </w:tblGrid>
      <w:tr w:rsidR="005435EA" w:rsidRPr="005435EA" w:rsidTr="00172DF9">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Substrat</w:t>
            </w:r>
          </w:p>
        </w:tc>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pH</w:t>
            </w:r>
          </w:p>
        </w:tc>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C.E.C.</w:t>
            </w:r>
          </w:p>
          <w:p w:rsidR="005435EA" w:rsidRPr="005435EA" w:rsidRDefault="005435EA" w:rsidP="005435EA">
            <w:pPr>
              <w:rPr>
                <w:lang w:val="fr-FR"/>
              </w:rPr>
            </w:pPr>
            <w:r w:rsidRPr="005435EA">
              <w:rPr>
                <w:lang w:val="fr-FR"/>
              </w:rPr>
              <w:t>(</w:t>
            </w:r>
            <w:proofErr w:type="spellStart"/>
            <w:r w:rsidRPr="005435EA">
              <w:rPr>
                <w:lang w:val="fr-FR"/>
              </w:rPr>
              <w:t>meq</w:t>
            </w:r>
            <w:proofErr w:type="spellEnd"/>
            <w:r w:rsidRPr="005435EA">
              <w:rPr>
                <w:lang w:val="fr-FR"/>
              </w:rPr>
              <w:t>/100g)</w:t>
            </w:r>
          </w:p>
        </w:tc>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Rétention eau</w:t>
            </w:r>
          </w:p>
          <w:p w:rsidR="005435EA" w:rsidRPr="005435EA" w:rsidRDefault="005435EA" w:rsidP="005435EA">
            <w:pPr>
              <w:rPr>
                <w:lang w:val="fr-FR"/>
              </w:rPr>
            </w:pPr>
            <w:r w:rsidRPr="005435EA">
              <w:rPr>
                <w:lang w:val="fr-FR"/>
              </w:rPr>
              <w:t>%</w:t>
            </w:r>
          </w:p>
        </w:tc>
        <w:tc>
          <w:tcPr>
            <w:tcW w:w="192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Durabilité</w:t>
            </w:r>
          </w:p>
        </w:tc>
      </w:tr>
      <w:tr w:rsidR="005435EA" w:rsidRPr="005435EA" w:rsidTr="00172DF9">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proofErr w:type="spellStart"/>
            <w:r w:rsidRPr="005435EA">
              <w:rPr>
                <w:lang w:val="fr-FR"/>
              </w:rPr>
              <w:t>Akadama</w:t>
            </w:r>
            <w:proofErr w:type="spellEnd"/>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Neutre</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120 max</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45</w:t>
            </w:r>
          </w:p>
        </w:tc>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moyenne</w:t>
            </w:r>
          </w:p>
        </w:tc>
      </w:tr>
      <w:tr w:rsidR="005435EA" w:rsidRPr="005435EA" w:rsidTr="00172DF9">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Écorce de pin</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Acide</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90</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15</w:t>
            </w:r>
          </w:p>
        </w:tc>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moyenne</w:t>
            </w:r>
          </w:p>
        </w:tc>
      </w:tr>
      <w:tr w:rsidR="005435EA" w:rsidRPr="005435EA" w:rsidTr="00172DF9">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Pouzzolane</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Neutre</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F749BF">
              <w:rPr>
                <w:highlight w:val="yellow"/>
                <w:lang w:val="fr-FR"/>
              </w:rPr>
              <w:t>0</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8</w:t>
            </w:r>
          </w:p>
        </w:tc>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Très bonne</w:t>
            </w:r>
          </w:p>
        </w:tc>
      </w:tr>
      <w:tr w:rsidR="005435EA" w:rsidRPr="005435EA" w:rsidTr="00172DF9">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proofErr w:type="spellStart"/>
            <w:r w:rsidRPr="005435EA">
              <w:rPr>
                <w:lang w:val="fr-FR"/>
              </w:rPr>
              <w:t>Pumice</w:t>
            </w:r>
            <w:proofErr w:type="spellEnd"/>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Neutre</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F749BF">
              <w:rPr>
                <w:highlight w:val="yellow"/>
                <w:lang w:val="fr-FR"/>
              </w:rPr>
              <w:t>0</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35</w:t>
            </w:r>
          </w:p>
        </w:tc>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bonne</w:t>
            </w:r>
          </w:p>
        </w:tc>
      </w:tr>
      <w:tr w:rsidR="005435EA" w:rsidRPr="005435EA" w:rsidTr="00172DF9">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Sable</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Neutre</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0</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0</w:t>
            </w:r>
          </w:p>
        </w:tc>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Très bonne</w:t>
            </w:r>
          </w:p>
        </w:tc>
      </w:tr>
      <w:tr w:rsidR="005435EA" w:rsidRPr="005435EA" w:rsidTr="00172DF9">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Zéolithe</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Neutre</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220</w:t>
            </w:r>
          </w:p>
        </w:tc>
        <w:tc>
          <w:tcPr>
            <w:tcW w:w="1928" w:type="dxa"/>
            <w:tcBorders>
              <w:left w:val="single" w:sz="2" w:space="0" w:color="000000"/>
              <w:bottom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48</w:t>
            </w:r>
          </w:p>
        </w:tc>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tcPr>
          <w:p w:rsidR="005435EA" w:rsidRPr="005435EA" w:rsidRDefault="005435EA" w:rsidP="005435EA">
            <w:pPr>
              <w:rPr>
                <w:lang w:val="fr-FR"/>
              </w:rPr>
            </w:pPr>
            <w:r w:rsidRPr="005435EA">
              <w:rPr>
                <w:lang w:val="fr-FR"/>
              </w:rPr>
              <w:t>bonne</w:t>
            </w:r>
          </w:p>
        </w:tc>
      </w:tr>
    </w:tbl>
    <w:p w:rsidR="005435EA" w:rsidRPr="005435EA" w:rsidRDefault="005435EA" w:rsidP="005435EA">
      <w:pPr>
        <w:rPr>
          <w:lang w:val="fr-FR"/>
        </w:rPr>
      </w:pPr>
      <w:r w:rsidRPr="005435EA">
        <w:rPr>
          <w:lang w:val="fr-FR"/>
        </w:rPr>
        <w:br/>
      </w:r>
      <w:r w:rsidRPr="005435EA">
        <w:rPr>
          <w:lang w:val="fr-FR"/>
        </w:rPr>
        <w:br/>
      </w:r>
      <w:r w:rsidRPr="005435EA">
        <w:rPr>
          <w:lang w:val="fr-FR"/>
        </w:rPr>
        <w:br/>
        <w:t>Voilà pour le côté scientifique.</w:t>
      </w:r>
    </w:p>
    <w:p w:rsidR="005435EA" w:rsidRPr="005435EA" w:rsidRDefault="005435EA" w:rsidP="005435EA">
      <w:pPr>
        <w:rPr>
          <w:lang w:val="fr-FR"/>
        </w:rPr>
      </w:pPr>
    </w:p>
    <w:p w:rsidR="005435EA" w:rsidRPr="005435EA" w:rsidRDefault="005435EA" w:rsidP="005435EA">
      <w:pPr>
        <w:rPr>
          <w:lang w:val="fr-FR"/>
        </w:rPr>
      </w:pPr>
      <w:r w:rsidRPr="005435EA">
        <w:rPr>
          <w:lang w:val="fr-FR"/>
        </w:rPr>
        <w:t>Côté expérience :</w:t>
      </w:r>
    </w:p>
    <w:p w:rsidR="005435EA" w:rsidRPr="00F749BF" w:rsidRDefault="005435EA" w:rsidP="005435EA">
      <w:pPr>
        <w:rPr>
          <w:color w:val="0070C0"/>
          <w:lang w:val="fr-FR"/>
        </w:rPr>
      </w:pPr>
      <w:r w:rsidRPr="005435EA">
        <w:rPr>
          <w:lang w:val="fr-FR"/>
        </w:rPr>
        <w:t xml:space="preserve">J’utilise de la zéolithe depuis 30 ans. J’ai essayé pure ou en </w:t>
      </w:r>
      <w:proofErr w:type="spellStart"/>
      <w:r w:rsidRPr="005435EA">
        <w:rPr>
          <w:lang w:val="fr-FR"/>
        </w:rPr>
        <w:t>mélange.</w:t>
      </w:r>
      <w:r w:rsidR="00F749BF">
        <w:rPr>
          <w:color w:val="0070C0"/>
          <w:lang w:val="fr-FR"/>
        </w:rPr>
        <w:t>avec</w:t>
      </w:r>
      <w:proofErr w:type="spellEnd"/>
      <w:r w:rsidR="00F749BF">
        <w:rPr>
          <w:color w:val="0070C0"/>
          <w:lang w:val="fr-FR"/>
        </w:rPr>
        <w:t xml:space="preserve"> quoi pour quels résultats</w:t>
      </w:r>
    </w:p>
    <w:p w:rsidR="005435EA" w:rsidRPr="00F749BF" w:rsidRDefault="005435EA" w:rsidP="005435EA">
      <w:pPr>
        <w:rPr>
          <w:color w:val="0070C0"/>
          <w:lang w:val="fr-FR"/>
        </w:rPr>
      </w:pPr>
      <w:r w:rsidRPr="005435EA">
        <w:rPr>
          <w:lang w:val="fr-FR"/>
        </w:rPr>
        <w:t>Grosse pousse racinaire</w:t>
      </w:r>
      <w:r w:rsidR="00F749BF">
        <w:rPr>
          <w:lang w:val="fr-FR"/>
        </w:rPr>
        <w:t xml:space="preserve"> </w:t>
      </w:r>
      <w:r w:rsidR="00F749BF">
        <w:rPr>
          <w:color w:val="0070C0"/>
          <w:lang w:val="fr-FR"/>
        </w:rPr>
        <w:t xml:space="preserve">dans quelles </w:t>
      </w:r>
      <w:proofErr w:type="gramStart"/>
      <w:r w:rsidR="00F749BF">
        <w:rPr>
          <w:color w:val="0070C0"/>
          <w:lang w:val="fr-FR"/>
        </w:rPr>
        <w:t>conditions,</w:t>
      </w:r>
      <w:r w:rsidRPr="005435EA">
        <w:rPr>
          <w:lang w:val="fr-FR"/>
        </w:rPr>
        <w:t>.</w:t>
      </w:r>
      <w:proofErr w:type="gramEnd"/>
      <w:r w:rsidRPr="005435EA">
        <w:rPr>
          <w:lang w:val="fr-FR"/>
        </w:rPr>
        <w:t xml:space="preserve"> Attention à la réutilisation du substrat : </w:t>
      </w:r>
      <w:r w:rsidRPr="00F749BF">
        <w:rPr>
          <w:highlight w:val="yellow"/>
          <w:lang w:val="fr-FR"/>
        </w:rPr>
        <w:t xml:space="preserve">il m’est apparu </w:t>
      </w:r>
      <w:proofErr w:type="gramStart"/>
      <w:r w:rsidRPr="00F749BF">
        <w:rPr>
          <w:highlight w:val="yellow"/>
          <w:lang w:val="fr-FR"/>
        </w:rPr>
        <w:t>qu’ après</w:t>
      </w:r>
      <w:proofErr w:type="gramEnd"/>
      <w:r w:rsidRPr="00F749BF">
        <w:rPr>
          <w:highlight w:val="yellow"/>
          <w:lang w:val="fr-FR"/>
        </w:rPr>
        <w:t xml:space="preserve"> quelques années, le mélange devient "toxique".</w:t>
      </w:r>
      <w:r w:rsidR="00F749BF">
        <w:rPr>
          <w:lang w:val="fr-FR"/>
        </w:rPr>
        <w:t xml:space="preserve"> </w:t>
      </w:r>
      <w:r w:rsidR="00F749BF">
        <w:rPr>
          <w:color w:val="0070C0"/>
          <w:lang w:val="fr-FR"/>
        </w:rPr>
        <w:t>Pas d’explication</w:t>
      </w:r>
    </w:p>
    <w:p w:rsidR="005435EA" w:rsidRPr="005435EA" w:rsidRDefault="005435EA" w:rsidP="005435EA">
      <w:pPr>
        <w:rPr>
          <w:lang w:val="fr-FR"/>
        </w:rPr>
      </w:pPr>
    </w:p>
    <w:p w:rsidR="005435EA" w:rsidRPr="00F749BF" w:rsidRDefault="005435EA" w:rsidP="005435EA">
      <w:pPr>
        <w:rPr>
          <w:color w:val="0070C0"/>
          <w:lang w:val="fr-FR"/>
        </w:rPr>
      </w:pPr>
      <w:r w:rsidRPr="005435EA">
        <w:rPr>
          <w:lang w:val="fr-FR"/>
        </w:rPr>
        <w:t>Maintenant, j’utilise la zéolithe au maximum à 20%.</w:t>
      </w:r>
      <w:r w:rsidR="00F749BF">
        <w:rPr>
          <w:color w:val="0070C0"/>
          <w:lang w:val="fr-FR"/>
        </w:rPr>
        <w:t>Et le reste c’est quoi ?</w:t>
      </w:r>
    </w:p>
    <w:p w:rsidR="005435EA" w:rsidRPr="005435EA" w:rsidRDefault="005435EA" w:rsidP="005435EA">
      <w:pPr>
        <w:rPr>
          <w:lang w:val="fr-FR"/>
        </w:rPr>
      </w:pPr>
    </w:p>
    <w:p w:rsidR="005435EA" w:rsidRPr="005435EA" w:rsidRDefault="005435EA" w:rsidP="005435EA">
      <w:pPr>
        <w:rPr>
          <w:lang w:val="fr-FR"/>
        </w:rPr>
      </w:pPr>
    </w:p>
    <w:p w:rsidR="005435EA" w:rsidRPr="005435EA" w:rsidRDefault="005435EA" w:rsidP="005435EA">
      <w:pPr>
        <w:rPr>
          <w:lang w:val="fr-FR"/>
        </w:rPr>
      </w:pPr>
    </w:p>
    <w:p w:rsidR="005435EA" w:rsidRPr="005435EA" w:rsidRDefault="005435EA" w:rsidP="005435EA">
      <w:pPr>
        <w:rPr>
          <w:lang w:val="fr-FR"/>
        </w:rPr>
      </w:pPr>
    </w:p>
    <w:p w:rsidR="005435EA" w:rsidRPr="005435EA" w:rsidRDefault="005435EA" w:rsidP="005435EA">
      <w:pPr>
        <w:rPr>
          <w:lang w:val="fr-FR"/>
        </w:rPr>
      </w:pPr>
      <w:r w:rsidRPr="005435EA">
        <w:rPr>
          <w:lang w:val="fr-FR"/>
        </w:rPr>
        <w:t>Sources :</w:t>
      </w:r>
    </w:p>
    <w:p w:rsidR="005435EA" w:rsidRPr="005435EA" w:rsidRDefault="005435EA" w:rsidP="005435EA">
      <w:pPr>
        <w:rPr>
          <w:lang w:val="fr-FR"/>
        </w:rPr>
      </w:pPr>
      <w:r w:rsidRPr="005435EA">
        <w:rPr>
          <w:lang w:val="fr-FR"/>
        </w:rPr>
        <w:t xml:space="preserve">Bruno </w:t>
      </w:r>
      <w:proofErr w:type="spellStart"/>
      <w:r w:rsidRPr="005435EA">
        <w:rPr>
          <w:lang w:val="fr-FR"/>
        </w:rPr>
        <w:t>Auvinet</w:t>
      </w:r>
      <w:proofErr w:type="spellEnd"/>
    </w:p>
    <w:p w:rsidR="005435EA" w:rsidRPr="005435EA" w:rsidRDefault="005435EA" w:rsidP="005435EA">
      <w:pPr>
        <w:rPr>
          <w:lang w:val="fr-FR"/>
        </w:rPr>
      </w:pPr>
      <w:proofErr w:type="spellStart"/>
      <w:r w:rsidRPr="005435EA">
        <w:rPr>
          <w:lang w:val="fr-FR"/>
        </w:rPr>
        <w:t>Somez</w:t>
      </w:r>
      <w:proofErr w:type="spellEnd"/>
      <w:r w:rsidRPr="005435EA">
        <w:rPr>
          <w:lang w:val="fr-FR"/>
        </w:rPr>
        <w:br/>
      </w:r>
    </w:p>
    <w:p w:rsidR="005435EA" w:rsidRDefault="005435EA"/>
    <w:p w:rsidR="005435EA" w:rsidRDefault="005435EA"/>
    <w:sectPr w:rsidR="005435EA" w:rsidSect="002E7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EA"/>
    <w:rsid w:val="000E5897"/>
    <w:rsid w:val="002E746F"/>
    <w:rsid w:val="0030040F"/>
    <w:rsid w:val="00415BB0"/>
    <w:rsid w:val="00522BF9"/>
    <w:rsid w:val="005435EA"/>
    <w:rsid w:val="00943766"/>
    <w:rsid w:val="009574F8"/>
    <w:rsid w:val="00B56DB0"/>
    <w:rsid w:val="00F749B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DBB6"/>
  <w15:docId w15:val="{9316AAAE-0E41-4895-81F2-E6FB8FA6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511</Words>
  <Characters>2813</Characters>
  <Application>Microsoft Office Word</Application>
  <DocSecurity>0</DocSecurity>
  <Lines>23</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 halink</dc:creator>
  <cp:lastModifiedBy>ruud halink</cp:lastModifiedBy>
  <cp:revision>3</cp:revision>
  <dcterms:created xsi:type="dcterms:W3CDTF">2017-11-30T10:29:00Z</dcterms:created>
  <dcterms:modified xsi:type="dcterms:W3CDTF">2017-12-28T22:15:00Z</dcterms:modified>
</cp:coreProperties>
</file>